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2025 51 vom 3. Juli 2025</w:t>
      </w:r>
    </w:p>
    <w:p>
      <w:r>
        <w:t>SZ Gerichte, 2025-07-03, DE</w:t>
      </w:r>
    </w:p>
    <w:p>
      <w:r>
        <w:rPr>
          <w:b/>
        </w:rPr>
        <w:t xml:space="preserve">Quelle: </w:t>
      </w:r>
      <w:r>
        <w:t>https://mcp.opencaselaw.ch/entscheid/sz_gerichte_BEK 2025 51</w:t>
      </w:r>
    </w:p>
    <w:p>
      <w:r>
        <w:t>FR: SZ_GERICHTE BEK 2025 51 du 3 juillet 2025</w:t>
      </w:r>
    </w:p>
    <w:p>
      <w:r>
        <w:t>IT: SZ_GERICHTE BEK 2025 51 del 3 luglio 2025</w:t>
      </w:r>
    </w:p>
    <w:p>
      <w:pPr>
        <w:pStyle w:val="Heading2"/>
      </w:pPr>
      <w:r>
        <w:t>Regeste</w:t>
      </w:r>
    </w:p>
    <w:p>
      <w:r>
        <w:t>Rechtsverzögerung | Untersuchungsführung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März 2024 E. 2.a m.H.). 3.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